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Calibri" w:hAnsi="Calibri"/>
          <w:b/>
          <w:color w:val="0F172A"/>
          <w:sz w:val="26"/>
        </w:rPr>
        <w:t>STANDAR OPERASIONAL PROSEDUR (SOP)</w:t>
        <w:br/>
        <w:t>SOP PENERIMAAN DANA BOSP</w:t>
        <w:br/>
        <w:t>SMK NEGERI 1 MAS UBUD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Nomor SOP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B.10.400.3/4503/SMKN 1 Mas Ubud/Dikpora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Tanggal Berlaku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15 Januari 2026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Unit Pelaksana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[Sekolah/Tim BOSP/Bendahara/PBJ]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Penanggung Jawab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Kepala Sekolah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Pelaksana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Bendahara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Output Utama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Bukti penerimaan dan pencatatan</w:t>
            </w:r>
          </w:p>
        </w:tc>
      </w:tr>
      <w:tr>
        <w:tc>
          <w:tcPr>
            <w:tcW w:type="dxa" w:w="4824"/>
            <w:shd w:val="clear" w:color="auto" w:fill="F1F5F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b/>
                <w:sz w:val="20"/>
              </w:rPr>
              <w:t>Dasar Hukum</w:t>
            </w:r>
          </w:p>
        </w:tc>
        <w:tc>
          <w:tcPr>
            <w:tcW w:type="dxa" w:w="48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20"/>
              </w:rPr>
              <w:t>Permendikdasmen 8/2026; Permendagri 3/2023; PP 60/2008; Pergub Bali 31/2025; serta ketentuan daerah/teknis yang berlaku.</w:t>
            </w:r>
          </w:p>
        </w:tc>
      </w:tr>
    </w:tbl>
    <w:p/>
    <w:p>
      <w:r>
        <w:rPr>
          <w:b/>
        </w:rPr>
        <w:t>A. Tujuan</w:t>
      </w:r>
    </w:p>
    <w:p>
      <w:pPr>
        <w:ind w:left="288"/>
      </w:pPr>
      <w:r>
        <w:t>Menjamin proses penerimaan dana bosp berlangsung tertib, patuh, terdokumentasi, dapat ditelusuri, dan menghasilkan bukti yang memadai untuk pertanggungjawaban serta pemeriksaan.</w:t>
      </w:r>
    </w:p>
    <w:p>
      <w:r>
        <w:rPr>
          <w:b/>
        </w:rPr>
        <w:t>B. Ruang Lingkup</w:t>
      </w:r>
    </w:p>
    <w:p>
      <w:pPr>
        <w:ind w:left="288"/>
      </w:pPr>
      <w:r>
        <w:t>Berlaku untuk seluruh transaksi BOSP yang relevan dengan SOP ini pada satuan pendidikan.</w:t>
      </w:r>
    </w:p>
    <w:p>
      <w:r>
        <w:rPr>
          <w:b/>
        </w:rPr>
        <w:t>C. Input dan Dokumen Persyaratan</w:t>
      </w:r>
    </w:p>
    <w:p>
      <w:pPr>
        <w:ind w:left="288"/>
      </w:pPr>
      <w:r>
        <w:t>Rekening koran/bukti penyaluran RKAS/ARKAS yang berlaku Bukti transaksi/dokumen pendukung sesuai proses Ketentuan teknis pemerintah daerah dan regulasi terkaitD. Prosedur</w:t>
      </w:r>
    </w:p>
    <w:p>
      <w:r>
        <w:rPr>
          <w:b/>
        </w:rPr>
        <w:t>D. Prosedur Pelaksanaan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608"/>
        <w:gridCol w:w="1608"/>
        <w:gridCol w:w="1608"/>
        <w:gridCol w:w="1608"/>
        <w:gridCol w:w="1608"/>
        <w:gridCol w:w="1608"/>
      </w:tblGrid>
      <w:tr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Tahapan Prosedur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Pelaksana / PIC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Persyaratan / Kelengkapan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Waktu</w:t>
            </w:r>
          </w:p>
        </w:tc>
        <w:tc>
          <w:tcPr>
            <w:tcW w:type="dxa" w:w="1608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Output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Pantau Rekening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Melakukan pemantauan secara berkala terhadap rekening untuk mengetahui adanya dana yang masuk.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Operator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Akses rekening, rekening koran atau mutasi rekening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Secara berkala / setiap hari kerja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Verifikasi Dana Masuk dengan Sumber/ Penyaluran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Memastikan kesesuaian dana yang diterima dengan sumber dana, jumlah, peruntukan, dan informasi penyaluran yang berlaku.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Kepala Urusan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Mutasi rekening, surat pemberitahuan penyaluran, dokumen sumber dana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dana teridentifikasi masuk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 Penerimaan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Mencatat seluruh dana yang telah diverifikasi ke dalam buku kas, aplikasi, atau administrasi keuangan yang digunakan.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transaksi dan dokumen verifikasi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proses verifikasi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Rekonsiliasi dengan Sistem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Mencocokkan data penerimaan yang telah dicatat dengan data pada sistem/aplikasi keuangan untuk memastikan kesesuaian dan ketepatan data.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Operator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Catatan penerimaan, mutasi rekening, data sistem keuangan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Secara berkala / sesuai jadwal rekonsiliasi</w:t>
            </w:r>
          </w:p>
        </w:tc>
      </w:tr>
      <w:tr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Arsipkan Bukti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Mengelompokkan dan menyimpan seluruh dokumen serta bukti penerimaan dana secara tertib, baik dalam bentuk fisik maupun digital.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Bendahara / Petugas Administrasi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transfer, mutasi rekening, dokumen verifikasi, laporan penerimaan</w:t>
            </w:r>
          </w:p>
        </w:tc>
        <w:tc>
          <w:tcPr>
            <w:tcW w:type="dxa" w:w="160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Setelah rekonsiliasi selesai</w:t>
            </w:r>
          </w:p>
        </w:tc>
      </w:tr>
    </w:tbl>
    <w:p/>
    <w:p>
      <w:r>
        <w:rPr>
          <w:b/>
        </w:rPr>
        <w:t>E. Titik Pengendalian / Audit Intern (SPIP)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412"/>
        <w:gridCol w:w="2412"/>
        <w:gridCol w:w="2412"/>
        <w:gridCol w:w="2412"/>
      </w:tblGrid>
      <w:tr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No.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Titik Pengendalian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Bukti yang Diuji</w:t>
            </w:r>
          </w:p>
        </w:tc>
        <w:tc>
          <w:tcPr>
            <w:tcW w:type="dxa" w:w="2412"/>
            <w:shd w:val="clear" w:color="auto" w:fill="E2E8F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>
            <w:r>
              <w:rPr>
                <w:b/>
                <w:sz w:val="18"/>
              </w:rPr>
              <w:t>Risiko yang Dikendalikan</w:t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1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Kesesuaian dengan RKAS/ARKAS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Kertas kerja/RKAS dan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2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Otorisasi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Persetujuan/tanda tangan/log sistem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3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Keterjadian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Barang/jasa, BAST, dokumentasi kegiatan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4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Kewajaran nilai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Invoice dan pembanding/standar biaya bila relevan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5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Pajak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Bukti potong/setor bila terutang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6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Pencatatan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BKU/buku pembantu/ARKAS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  <w:tr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7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Arsip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  <w:t>Register dan paket dokumen transaksi</w:t>
            </w:r>
          </w:p>
        </w:tc>
        <w:tc>
          <w:tcPr>
            <w:tcW w:type="dxa" w:w="24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r>
              <w:rPr>
                <w:sz w:val="18"/>
              </w:rPr>
            </w:r>
          </w:p>
        </w:tc>
      </w:tr>
    </w:tbl>
    <w:p/>
    <w:p>
      <w:r>
        <w:rPr>
          <w:b/>
        </w:rPr>
        <w:t>F. Lembar Pengesahan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Disusun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Diperiksa</w:t>
            </w:r>
          </w:p>
        </w:tc>
        <w:tc>
          <w:tcPr>
            <w:tcW w:type="dxa" w:w="3216"/>
            <w:shd w:val="clear" w:color="auto" w:fill="F8FAFC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b/>
              </w:rPr>
              <w:t>Disahkan</w:t>
            </w:r>
          </w:p>
        </w:tc>
      </w:tr>
      <w:tr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Ketua Tim SPMI</w:t>
              <w:br/>
              <w:br/>
              <w:br/>
              <w:br/>
              <w:br/>
              <w:t>Ni Wayan Martini, S.Pd, M.Pd</w:t>
              <w:br/>
              <w:t>NIP. 19810427 200604 2 020</w:t>
              <w:br/>
              <w:t>Tanggal: 09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Bendahara BOSP</w:t>
              <w:br/>
              <w:br/>
              <w:br/>
              <w:br/>
              <w:br/>
              <w:t>Dewa Ayu Pramitasari, A.Md</w:t>
              <w:br/>
              <w:t>NIP. 19880102 202012 2 003</w:t>
              <w:br/>
              <w:t>Tanggal: 14 Januari 2026</w:t>
            </w:r>
          </w:p>
        </w:tc>
        <w:tc>
          <w:tcPr>
            <w:tcW w:type="dxa" w:w="32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</w:pPr>
            <w:r>
              <w:rPr>
                <w:sz w:val="18"/>
              </w:rPr>
              <w:t>Kepala Satuan Pendidikan</w:t>
              <w:br/>
              <w:br/>
              <w:br/>
              <w:br/>
              <w:br/>
              <w:t>I Komang Purwata, S.Pd., M.Pd.</w:t>
              <w:br/>
              <w:t>NIP. 19861216 200903 1 004</w:t>
              <w:br/>
              <w:t>Tanggal: 15 Januari 2026</w:t>
            </w:r>
          </w:p>
        </w:tc>
      </w:tr>
    </w:tbl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